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D" w:rsidRPr="00776B39" w:rsidRDefault="00374E6D" w:rsidP="00374E6D">
      <w:pPr>
        <w:rPr>
          <w:b/>
          <w:sz w:val="24"/>
        </w:rPr>
      </w:pPr>
      <w:r w:rsidRPr="00776B39">
        <w:rPr>
          <w:b/>
          <w:sz w:val="24"/>
        </w:rPr>
        <w:t>Kompetencefordelingen i personalesager</w:t>
      </w:r>
      <w:r w:rsidR="007975E5">
        <w:rPr>
          <w:b/>
          <w:sz w:val="24"/>
        </w:rPr>
        <w:t xml:space="preserve"> pr. 1. august 2013</w:t>
      </w:r>
    </w:p>
    <w:p w:rsidR="00374E6D" w:rsidRDefault="00374E6D" w:rsidP="00374E6D">
      <w:pPr>
        <w:ind w:left="-720"/>
      </w:pPr>
    </w:p>
    <w:p w:rsidR="00374E6D" w:rsidRPr="00C91821" w:rsidRDefault="00374E6D" w:rsidP="00374E6D">
      <w:pPr>
        <w:rPr>
          <w:sz w:val="16"/>
          <w:szCs w:val="16"/>
        </w:rPr>
      </w:pPr>
      <w:r>
        <w:rPr>
          <w:sz w:val="16"/>
          <w:szCs w:val="16"/>
        </w:rPr>
        <w:t>Kommunalbestyrelsen beslutter</w:t>
      </w:r>
      <w:r w:rsidRPr="00C91821">
        <w:rPr>
          <w:sz w:val="16"/>
          <w:szCs w:val="16"/>
        </w:rPr>
        <w:t>, hvem der har ko</w:t>
      </w:r>
      <w:r>
        <w:rPr>
          <w:sz w:val="16"/>
          <w:szCs w:val="16"/>
        </w:rPr>
        <w:t>mpetencen til at træffe afgørelser</w:t>
      </w:r>
      <w:r w:rsidRPr="00C91821">
        <w:rPr>
          <w:sz w:val="16"/>
          <w:szCs w:val="16"/>
        </w:rPr>
        <w:t xml:space="preserve"> i personalesager. </w:t>
      </w:r>
    </w:p>
    <w:p w:rsidR="00374E6D" w:rsidRDefault="00374E6D" w:rsidP="00374E6D">
      <w:pPr>
        <w:rPr>
          <w:sz w:val="16"/>
          <w:szCs w:val="16"/>
        </w:rPr>
      </w:pPr>
    </w:p>
    <w:p w:rsidR="00226627" w:rsidRPr="00170C16" w:rsidRDefault="00226627" w:rsidP="00226627">
      <w:pPr>
        <w:ind w:left="-720" w:firstLine="720"/>
        <w:rPr>
          <w:sz w:val="16"/>
          <w:szCs w:val="16"/>
        </w:rPr>
      </w:pPr>
      <w:r w:rsidRPr="00170C16">
        <w:rPr>
          <w:sz w:val="16"/>
          <w:szCs w:val="16"/>
        </w:rPr>
        <w:t xml:space="preserve">Ansættelse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701"/>
        <w:gridCol w:w="1559"/>
        <w:gridCol w:w="1560"/>
        <w:gridCol w:w="1559"/>
      </w:tblGrid>
      <w:tr w:rsidR="00226627" w:rsidRPr="00234893" w:rsidTr="007C070A">
        <w:trPr>
          <w:trHeight w:val="2020"/>
        </w:trPr>
        <w:tc>
          <w:tcPr>
            <w:tcW w:w="1844" w:type="dxa"/>
            <w:shd w:val="clear" w:color="auto" w:fill="auto"/>
          </w:tcPr>
          <w:p w:rsidR="00226627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 xml:space="preserve">Hvem har </w:t>
            </w:r>
          </w:p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kompetencen</w:t>
            </w:r>
          </w:p>
        </w:tc>
        <w:tc>
          <w:tcPr>
            <w:tcW w:w="198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Ansættelse af</w:t>
            </w:r>
          </w:p>
          <w:p w:rsidR="00226627" w:rsidRPr="00DE31CA" w:rsidRDefault="00226627" w:rsidP="007C070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Kommunal</w:t>
            </w:r>
            <w:r w:rsidRPr="00DE31CA">
              <w:rPr>
                <w:sz w:val="16"/>
                <w:szCs w:val="16"/>
              </w:rPr>
              <w:t>direktør</w:t>
            </w:r>
          </w:p>
          <w:p w:rsidR="00226627" w:rsidRPr="0020129D" w:rsidRDefault="00226627" w:rsidP="007C070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Områded</w:t>
            </w:r>
            <w:r w:rsidRPr="00234893">
              <w:rPr>
                <w:sz w:val="16"/>
                <w:szCs w:val="16"/>
              </w:rPr>
              <w:t>irektører</w:t>
            </w:r>
          </w:p>
        </w:tc>
        <w:tc>
          <w:tcPr>
            <w:tcW w:w="1701" w:type="dxa"/>
          </w:tcPr>
          <w:p w:rsidR="00226627" w:rsidRDefault="00226627" w:rsidP="007C0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Ansættelse af</w:t>
            </w:r>
          </w:p>
          <w:p w:rsidR="00226627" w:rsidRPr="0000670A" w:rsidRDefault="00226627" w:rsidP="007C070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0670A">
              <w:rPr>
                <w:sz w:val="16"/>
                <w:szCs w:val="16"/>
              </w:rPr>
              <w:t>Afdelingschefer</w:t>
            </w:r>
          </w:p>
          <w:p w:rsidR="00226627" w:rsidRPr="00234893" w:rsidRDefault="00226627" w:rsidP="007C070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Ansættelse af</w:t>
            </w:r>
          </w:p>
          <w:p w:rsidR="00226627" w:rsidRDefault="00226627" w:rsidP="007C070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 xml:space="preserve">Sekretariats-ledere i </w:t>
            </w:r>
          </w:p>
          <w:p w:rsidR="00226627" w:rsidRPr="00234893" w:rsidRDefault="00226627" w:rsidP="007C070A">
            <w:pPr>
              <w:ind w:left="360"/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 xml:space="preserve">områderne </w:t>
            </w:r>
          </w:p>
        </w:tc>
        <w:tc>
          <w:tcPr>
            <w:tcW w:w="1560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Ansættelse af</w:t>
            </w:r>
          </w:p>
          <w:p w:rsidR="00226627" w:rsidRPr="0020129D" w:rsidRDefault="00ED4C78" w:rsidP="007C070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Ledere med reference til </w:t>
            </w:r>
            <w:r w:rsidR="00226627" w:rsidRPr="003D1A80">
              <w:rPr>
                <w:sz w:val="16"/>
                <w:szCs w:val="16"/>
              </w:rPr>
              <w:t>afdelingschef</w:t>
            </w: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 xml:space="preserve">Ansættelse af </w:t>
            </w:r>
          </w:p>
          <w:p w:rsidR="00226627" w:rsidRPr="00DE31CA" w:rsidRDefault="00226627" w:rsidP="00226627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E31CA">
              <w:rPr>
                <w:sz w:val="16"/>
                <w:szCs w:val="16"/>
              </w:rPr>
              <w:t>Souschefer</w:t>
            </w:r>
          </w:p>
          <w:p w:rsidR="00226627" w:rsidRDefault="00226627" w:rsidP="00226627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E31CA">
              <w:rPr>
                <w:sz w:val="16"/>
                <w:szCs w:val="16"/>
              </w:rPr>
              <w:t>Chef</w:t>
            </w:r>
            <w:r>
              <w:rPr>
                <w:sz w:val="16"/>
                <w:szCs w:val="16"/>
              </w:rPr>
              <w:t>-/special</w:t>
            </w:r>
          </w:p>
          <w:p w:rsidR="00226627" w:rsidRPr="00DE31CA" w:rsidRDefault="00226627" w:rsidP="007C070A">
            <w:pPr>
              <w:ind w:left="360"/>
              <w:rPr>
                <w:sz w:val="16"/>
                <w:szCs w:val="16"/>
              </w:rPr>
            </w:pPr>
            <w:r w:rsidRPr="00DE31CA">
              <w:rPr>
                <w:sz w:val="16"/>
                <w:szCs w:val="16"/>
              </w:rPr>
              <w:t>konsulenter</w:t>
            </w:r>
          </w:p>
          <w:p w:rsidR="00226627" w:rsidRPr="00DE31CA" w:rsidRDefault="00ED4C78" w:rsidP="00226627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226627" w:rsidRPr="00DE31CA">
              <w:rPr>
                <w:sz w:val="16"/>
                <w:szCs w:val="16"/>
              </w:rPr>
              <w:t>edarbejde</w:t>
            </w:r>
            <w:r>
              <w:rPr>
                <w:sz w:val="16"/>
                <w:szCs w:val="16"/>
              </w:rPr>
              <w:t>-</w:t>
            </w:r>
            <w:r w:rsidR="00226627" w:rsidRPr="00DE31CA">
              <w:rPr>
                <w:sz w:val="16"/>
                <w:szCs w:val="16"/>
              </w:rPr>
              <w:t>re</w:t>
            </w:r>
          </w:p>
        </w:tc>
      </w:tr>
      <w:tr w:rsidR="00226627" w:rsidRPr="00234893" w:rsidTr="007C070A">
        <w:tc>
          <w:tcPr>
            <w:tcW w:w="184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Kommunalbestyrelsen</w:t>
            </w:r>
          </w:p>
        </w:tc>
        <w:tc>
          <w:tcPr>
            <w:tcW w:w="1984" w:type="dxa"/>
            <w:shd w:val="clear" w:color="auto" w:fill="auto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x(a)</w:t>
            </w:r>
          </w:p>
        </w:tc>
        <w:tc>
          <w:tcPr>
            <w:tcW w:w="1701" w:type="dxa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</w:tr>
      <w:tr w:rsidR="00226627" w:rsidRPr="00234893" w:rsidTr="007C070A">
        <w:tc>
          <w:tcPr>
            <w:tcW w:w="184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Økonomiudvalget</w:t>
            </w:r>
          </w:p>
        </w:tc>
        <w:tc>
          <w:tcPr>
            <w:tcW w:w="198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x(b)</w:t>
            </w: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x(c)</w:t>
            </w: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</w:tr>
      <w:tr w:rsidR="00226627" w:rsidRPr="00234893" w:rsidTr="007C070A">
        <w:tc>
          <w:tcPr>
            <w:tcW w:w="184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6627" w:rsidRDefault="00226627" w:rsidP="007C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Default="00226627" w:rsidP="007C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</w:tr>
      <w:tr w:rsidR="00226627" w:rsidRPr="00234893" w:rsidTr="007C070A">
        <w:tc>
          <w:tcPr>
            <w:tcW w:w="184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Områdedirektører</w:t>
            </w:r>
          </w:p>
        </w:tc>
        <w:tc>
          <w:tcPr>
            <w:tcW w:w="198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6627" w:rsidRDefault="00226627" w:rsidP="007C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</w:tr>
      <w:tr w:rsidR="00226627" w:rsidRPr="00234893" w:rsidTr="007C070A">
        <w:tc>
          <w:tcPr>
            <w:tcW w:w="184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 w:rsidRPr="00234893">
              <w:rPr>
                <w:sz w:val="16"/>
                <w:szCs w:val="16"/>
              </w:rPr>
              <w:t>Afdelingschefer</w:t>
            </w:r>
          </w:p>
        </w:tc>
        <w:tc>
          <w:tcPr>
            <w:tcW w:w="198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x(c)</w:t>
            </w: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</w:p>
        </w:tc>
      </w:tr>
      <w:tr w:rsidR="00226627" w:rsidRPr="00234893" w:rsidTr="007C070A">
        <w:tc>
          <w:tcPr>
            <w:tcW w:w="184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Nærmeste chef/leder</w:t>
            </w:r>
          </w:p>
        </w:tc>
        <w:tc>
          <w:tcPr>
            <w:tcW w:w="1984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6627" w:rsidRPr="00234893" w:rsidRDefault="00226627" w:rsidP="007C07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6627" w:rsidRPr="00234893" w:rsidRDefault="00226627" w:rsidP="007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374E6D" w:rsidRDefault="00374E6D" w:rsidP="00374E6D">
      <w:pPr>
        <w:ind w:left="-720"/>
        <w:rPr>
          <w:sz w:val="16"/>
          <w:szCs w:val="16"/>
        </w:rPr>
      </w:pPr>
    </w:p>
    <w:p w:rsidR="00226627" w:rsidRDefault="00226627" w:rsidP="00374E6D">
      <w:pPr>
        <w:numPr>
          <w:ilvl w:val="1"/>
          <w:numId w:val="3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Efter indstilling fra borgmesteren</w:t>
      </w:r>
    </w:p>
    <w:p w:rsidR="00226627" w:rsidRDefault="00226627" w:rsidP="00374E6D">
      <w:pPr>
        <w:numPr>
          <w:ilvl w:val="1"/>
          <w:numId w:val="3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Efter indstilling fra kommunaldirektøren vedrørende chefen for Økonomi &amp; stab og efter indstilling fra områdedirektøren vedrørende andre afdelingschefer</w:t>
      </w:r>
    </w:p>
    <w:p w:rsidR="00226627" w:rsidRDefault="00226627" w:rsidP="00374E6D">
      <w:pPr>
        <w:numPr>
          <w:ilvl w:val="1"/>
          <w:numId w:val="3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Ansættelse af ledere med meget bred berøringsflade til borgere godkendes af økonomiudvalget efter indstilling fra afdelingschefen. Det gælder p.t. skoleledere, idrætsdirektøren, lederen af biblioteket</w:t>
      </w:r>
      <w:r w:rsidR="00FC527B">
        <w:rPr>
          <w:i/>
          <w:sz w:val="16"/>
          <w:szCs w:val="16"/>
        </w:rPr>
        <w:t>, musikskolelederen, lederen af musikteatret</w:t>
      </w:r>
    </w:p>
    <w:p w:rsidR="00FC527B" w:rsidRDefault="00FC527B" w:rsidP="00FC527B">
      <w:pPr>
        <w:rPr>
          <w:sz w:val="16"/>
          <w:szCs w:val="16"/>
        </w:rPr>
      </w:pPr>
    </w:p>
    <w:p w:rsidR="00FC527B" w:rsidRPr="00FC527B" w:rsidRDefault="00FC527B" w:rsidP="00FC527B">
      <w:pPr>
        <w:rPr>
          <w:sz w:val="16"/>
          <w:szCs w:val="16"/>
        </w:rPr>
      </w:pPr>
      <w:r>
        <w:rPr>
          <w:sz w:val="16"/>
          <w:szCs w:val="16"/>
        </w:rPr>
        <w:t>Generelt gælder, at ansættelsesudvalg sammensættes med den relevante repræsentation og altid med deltagelse af både ledere og medarbejdere fra den pågældende arbejdsplads</w:t>
      </w:r>
      <w:r w:rsidRPr="00ED4C78">
        <w:rPr>
          <w:sz w:val="16"/>
          <w:szCs w:val="16"/>
        </w:rPr>
        <w:t xml:space="preserve">. På arbejdspladser, som har deres egen bestyrelse sikres repræsentation fra bestyrelsen. </w:t>
      </w:r>
      <w:r w:rsidR="00ED4C78">
        <w:rPr>
          <w:sz w:val="16"/>
          <w:szCs w:val="16"/>
        </w:rPr>
        <w:t>Ved ansættelser, hvor kommunalbestyrelsen</w:t>
      </w:r>
      <w:r w:rsidR="00C1670E">
        <w:rPr>
          <w:sz w:val="16"/>
          <w:szCs w:val="16"/>
        </w:rPr>
        <w:t>/økonomiudvalget</w:t>
      </w:r>
      <w:r>
        <w:rPr>
          <w:sz w:val="16"/>
          <w:szCs w:val="16"/>
        </w:rPr>
        <w:t xml:space="preserve"> har a</w:t>
      </w:r>
      <w:r w:rsidR="00ED4C78">
        <w:rPr>
          <w:sz w:val="16"/>
          <w:szCs w:val="16"/>
        </w:rPr>
        <w:t>nsættelseskompetencen aftales kommunalbestyrelses</w:t>
      </w:r>
      <w:r w:rsidR="00C1670E">
        <w:rPr>
          <w:sz w:val="16"/>
          <w:szCs w:val="16"/>
        </w:rPr>
        <w:t xml:space="preserve">-/økonomiudvalgs </w:t>
      </w:r>
      <w:r>
        <w:rPr>
          <w:sz w:val="16"/>
          <w:szCs w:val="16"/>
        </w:rPr>
        <w:t>medlemmers deltagelse i ansættelsesudvalget konkret i hver enkelt sag. Ansættelsesforløbet ledes af den, som har indstillingsretten.</w:t>
      </w:r>
    </w:p>
    <w:p w:rsidR="00374E6D" w:rsidRDefault="00374E6D" w:rsidP="00374E6D">
      <w:pPr>
        <w:rPr>
          <w:sz w:val="16"/>
          <w:szCs w:val="16"/>
        </w:rPr>
      </w:pPr>
    </w:p>
    <w:p w:rsidR="00374E6D" w:rsidRDefault="000E69D1" w:rsidP="00374E6D">
      <w:pPr>
        <w:rPr>
          <w:sz w:val="16"/>
          <w:szCs w:val="16"/>
        </w:rPr>
      </w:pPr>
      <w:r>
        <w:rPr>
          <w:sz w:val="16"/>
          <w:szCs w:val="16"/>
        </w:rPr>
        <w:t>Kompetencen til at træffe afgørelse i</w:t>
      </w:r>
      <w:r w:rsidR="00A07E65">
        <w:rPr>
          <w:sz w:val="16"/>
          <w:szCs w:val="16"/>
        </w:rPr>
        <w:t xml:space="preserve"> følgende </w:t>
      </w:r>
      <w:r>
        <w:rPr>
          <w:sz w:val="16"/>
          <w:szCs w:val="16"/>
        </w:rPr>
        <w:t xml:space="preserve">personalesager </w:t>
      </w:r>
      <w:r w:rsidR="00A07E65">
        <w:rPr>
          <w:sz w:val="16"/>
          <w:szCs w:val="16"/>
        </w:rPr>
        <w:t xml:space="preserve">følger </w:t>
      </w:r>
      <w:r>
        <w:rPr>
          <w:sz w:val="16"/>
          <w:szCs w:val="16"/>
        </w:rPr>
        <w:t>g</w:t>
      </w:r>
      <w:r w:rsidR="00A07E65">
        <w:rPr>
          <w:sz w:val="16"/>
          <w:szCs w:val="16"/>
        </w:rPr>
        <w:t xml:space="preserve">enerelt ansættelseskompetencen, </w:t>
      </w:r>
      <w:r w:rsidR="00374E6D">
        <w:rPr>
          <w:sz w:val="16"/>
          <w:szCs w:val="16"/>
        </w:rPr>
        <w:t>dog med nedenfor angivne supplerende bemærkninger og afvigelser</w:t>
      </w:r>
      <w:r w:rsidR="00374E6D" w:rsidRPr="00915831">
        <w:rPr>
          <w:sz w:val="16"/>
          <w:szCs w:val="16"/>
        </w:rPr>
        <w:t>.</w:t>
      </w:r>
      <w:r w:rsidR="00A07E65" w:rsidRPr="00915831">
        <w:rPr>
          <w:sz w:val="16"/>
          <w:szCs w:val="16"/>
        </w:rPr>
        <w:t xml:space="preserve"> I personalesager hvo</w:t>
      </w:r>
      <w:r w:rsidR="00943EC9" w:rsidRPr="00915831">
        <w:rPr>
          <w:sz w:val="16"/>
          <w:szCs w:val="16"/>
        </w:rPr>
        <w:t xml:space="preserve">r kommunalbestyrelsen/økonomiudvalget </w:t>
      </w:r>
      <w:r w:rsidR="00A07E65" w:rsidRPr="00915831">
        <w:rPr>
          <w:sz w:val="16"/>
          <w:szCs w:val="16"/>
        </w:rPr>
        <w:t xml:space="preserve"> har ansættelsesko</w:t>
      </w:r>
      <w:r w:rsidR="00B945D1" w:rsidRPr="00915831">
        <w:rPr>
          <w:sz w:val="16"/>
          <w:szCs w:val="16"/>
        </w:rPr>
        <w:t xml:space="preserve">mpetencen ligger kompetencen i disse sager </w:t>
      </w:r>
      <w:r w:rsidR="00915831" w:rsidRPr="00915831">
        <w:rPr>
          <w:sz w:val="16"/>
          <w:szCs w:val="16"/>
        </w:rPr>
        <w:t>hos nærmeste leder.</w:t>
      </w:r>
    </w:p>
    <w:p w:rsidR="00374E6D" w:rsidRDefault="00374E6D" w:rsidP="00374E6D">
      <w:pPr>
        <w:rPr>
          <w:sz w:val="16"/>
          <w:szCs w:val="16"/>
        </w:rPr>
      </w:pPr>
    </w:p>
    <w:p w:rsidR="00374E6D" w:rsidRPr="00444130" w:rsidRDefault="00374E6D" w:rsidP="00374E6D">
      <w:pPr>
        <w:numPr>
          <w:ilvl w:val="0"/>
          <w:numId w:val="5"/>
        </w:numPr>
        <w:rPr>
          <w:sz w:val="16"/>
          <w:szCs w:val="16"/>
        </w:rPr>
      </w:pPr>
      <w:r w:rsidRPr="00444130">
        <w:rPr>
          <w:sz w:val="16"/>
          <w:szCs w:val="16"/>
        </w:rPr>
        <w:t>Ansættelse på åremål</w:t>
      </w:r>
      <w:r w:rsidR="00ED4C78">
        <w:rPr>
          <w:sz w:val="16"/>
          <w:szCs w:val="16"/>
        </w:rPr>
        <w:t xml:space="preserve"> eller kontrakt</w:t>
      </w:r>
      <w:r w:rsidR="0094706E">
        <w:rPr>
          <w:sz w:val="16"/>
          <w:szCs w:val="16"/>
        </w:rPr>
        <w:t>ansættelse</w:t>
      </w:r>
    </w:p>
    <w:p w:rsidR="00374E6D" w:rsidRDefault="00374E6D" w:rsidP="00374E6D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Konstitution i højere stilling</w:t>
      </w:r>
    </w:p>
    <w:p w:rsidR="00374E6D" w:rsidRPr="00180434" w:rsidRDefault="00374E6D" w:rsidP="00374E6D">
      <w:pPr>
        <w:numPr>
          <w:ilvl w:val="0"/>
          <w:numId w:val="4"/>
        </w:numPr>
        <w:rPr>
          <w:sz w:val="16"/>
          <w:szCs w:val="16"/>
        </w:rPr>
      </w:pPr>
      <w:r w:rsidRPr="00180434">
        <w:rPr>
          <w:sz w:val="16"/>
          <w:szCs w:val="16"/>
        </w:rPr>
        <w:t>Orlov uden løn</w:t>
      </w:r>
    </w:p>
    <w:p w:rsidR="00374E6D" w:rsidRPr="00180434" w:rsidRDefault="00374E6D" w:rsidP="00374E6D">
      <w:pPr>
        <w:numPr>
          <w:ilvl w:val="0"/>
          <w:numId w:val="4"/>
        </w:numPr>
        <w:rPr>
          <w:sz w:val="16"/>
          <w:szCs w:val="16"/>
        </w:rPr>
      </w:pPr>
      <w:r w:rsidRPr="00180434">
        <w:rPr>
          <w:sz w:val="16"/>
          <w:szCs w:val="16"/>
        </w:rPr>
        <w:t>Ansættelse efter Rammeaftale om det sociale kapitel – fleksjob, aftalebaserede jobs, løntilskud</w:t>
      </w:r>
    </w:p>
    <w:p w:rsidR="00374E6D" w:rsidRPr="00180434" w:rsidRDefault="00374E6D" w:rsidP="00374E6D">
      <w:pPr>
        <w:numPr>
          <w:ilvl w:val="0"/>
          <w:numId w:val="4"/>
        </w:numPr>
        <w:rPr>
          <w:sz w:val="16"/>
          <w:szCs w:val="16"/>
        </w:rPr>
      </w:pPr>
      <w:r w:rsidRPr="00180434">
        <w:rPr>
          <w:sz w:val="16"/>
          <w:szCs w:val="16"/>
        </w:rPr>
        <w:t>Ny løn, herunder resultatløn</w:t>
      </w:r>
    </w:p>
    <w:p w:rsidR="00374E6D" w:rsidRDefault="00374E6D" w:rsidP="00374E6D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Godtgørelse for merarbejde</w:t>
      </w:r>
    </w:p>
    <w:p w:rsidR="00374E6D" w:rsidRPr="00180434" w:rsidRDefault="00374E6D" w:rsidP="00374E6D">
      <w:pPr>
        <w:numPr>
          <w:ilvl w:val="0"/>
          <w:numId w:val="4"/>
        </w:numPr>
        <w:rPr>
          <w:sz w:val="16"/>
          <w:szCs w:val="16"/>
        </w:rPr>
      </w:pPr>
      <w:r w:rsidRPr="00180434">
        <w:rPr>
          <w:sz w:val="16"/>
          <w:szCs w:val="16"/>
        </w:rPr>
        <w:t>Overførsel af ferie &amp; erstatningsferie</w:t>
      </w:r>
    </w:p>
    <w:p w:rsidR="00DD5CE4" w:rsidRPr="00180434" w:rsidRDefault="00DD5CE4" w:rsidP="00DD5CE4">
      <w:pPr>
        <w:numPr>
          <w:ilvl w:val="0"/>
          <w:numId w:val="4"/>
        </w:numPr>
        <w:rPr>
          <w:sz w:val="16"/>
          <w:szCs w:val="16"/>
        </w:rPr>
      </w:pPr>
      <w:r w:rsidRPr="00180434">
        <w:rPr>
          <w:sz w:val="16"/>
          <w:szCs w:val="16"/>
        </w:rPr>
        <w:t>Frigørelsesattester</w:t>
      </w:r>
    </w:p>
    <w:p w:rsidR="00374E6D" w:rsidRPr="00180434" w:rsidRDefault="00374E6D" w:rsidP="00374E6D">
      <w:pPr>
        <w:numPr>
          <w:ilvl w:val="0"/>
          <w:numId w:val="4"/>
        </w:numPr>
        <w:rPr>
          <w:sz w:val="16"/>
          <w:szCs w:val="16"/>
        </w:rPr>
      </w:pPr>
      <w:r w:rsidRPr="00180434">
        <w:rPr>
          <w:sz w:val="16"/>
          <w:szCs w:val="16"/>
        </w:rPr>
        <w:t>Senioraftaler</w:t>
      </w:r>
    </w:p>
    <w:p w:rsidR="00374E6D" w:rsidRPr="00180434" w:rsidRDefault="00374E6D" w:rsidP="00374E6D">
      <w:pPr>
        <w:numPr>
          <w:ilvl w:val="0"/>
          <w:numId w:val="4"/>
        </w:numPr>
        <w:rPr>
          <w:sz w:val="16"/>
          <w:szCs w:val="16"/>
        </w:rPr>
      </w:pPr>
      <w:r w:rsidRPr="00180434">
        <w:rPr>
          <w:sz w:val="16"/>
          <w:szCs w:val="16"/>
        </w:rPr>
        <w:t>Advarsler/påtaler</w:t>
      </w:r>
    </w:p>
    <w:p w:rsidR="00374E6D" w:rsidRDefault="00374E6D" w:rsidP="00374E6D">
      <w:pPr>
        <w:numPr>
          <w:ilvl w:val="0"/>
          <w:numId w:val="4"/>
        </w:numPr>
        <w:rPr>
          <w:sz w:val="16"/>
          <w:szCs w:val="16"/>
        </w:rPr>
      </w:pPr>
      <w:r w:rsidRPr="00180434">
        <w:rPr>
          <w:sz w:val="16"/>
          <w:szCs w:val="16"/>
        </w:rPr>
        <w:t>Ansøgt afsked</w:t>
      </w:r>
    </w:p>
    <w:p w:rsidR="00374E6D" w:rsidRDefault="00374E6D" w:rsidP="00374E6D">
      <w:pPr>
        <w:ind w:left="-720"/>
        <w:rPr>
          <w:b/>
          <w:sz w:val="16"/>
          <w:szCs w:val="16"/>
        </w:rPr>
      </w:pPr>
    </w:p>
    <w:p w:rsidR="007975E5" w:rsidRDefault="007975E5" w:rsidP="00374E6D">
      <w:pPr>
        <w:rPr>
          <w:b/>
          <w:sz w:val="16"/>
          <w:szCs w:val="16"/>
        </w:rPr>
      </w:pPr>
    </w:p>
    <w:p w:rsidR="007975E5" w:rsidRDefault="007975E5" w:rsidP="00374E6D">
      <w:pPr>
        <w:rPr>
          <w:b/>
          <w:sz w:val="16"/>
          <w:szCs w:val="16"/>
        </w:rPr>
      </w:pPr>
    </w:p>
    <w:p w:rsidR="007975E5" w:rsidRDefault="007975E5" w:rsidP="00374E6D">
      <w:pPr>
        <w:rPr>
          <w:b/>
          <w:sz w:val="16"/>
          <w:szCs w:val="16"/>
        </w:rPr>
      </w:pPr>
    </w:p>
    <w:p w:rsidR="00374E6D" w:rsidRDefault="00374E6D" w:rsidP="00374E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Supplerende bemærkninger og afvigelser til kompetencen i personalesager, hvor kompetencen </w:t>
      </w:r>
      <w:r w:rsidR="00436D69">
        <w:rPr>
          <w:b/>
          <w:sz w:val="16"/>
          <w:szCs w:val="16"/>
        </w:rPr>
        <w:t xml:space="preserve">i øvrigt </w:t>
      </w:r>
      <w:r>
        <w:rPr>
          <w:b/>
          <w:sz w:val="16"/>
          <w:szCs w:val="16"/>
        </w:rPr>
        <w:t>følger ansættelseskompetencen</w:t>
      </w:r>
    </w:p>
    <w:p w:rsidR="00374E6D" w:rsidRDefault="00374E6D" w:rsidP="00374E6D">
      <w:pPr>
        <w:rPr>
          <w:b/>
          <w:sz w:val="16"/>
          <w:szCs w:val="16"/>
        </w:rPr>
      </w:pPr>
    </w:p>
    <w:p w:rsidR="00374E6D" w:rsidRPr="00024DF3" w:rsidRDefault="00374E6D" w:rsidP="00374E6D">
      <w:pPr>
        <w:rPr>
          <w:i/>
          <w:sz w:val="16"/>
          <w:szCs w:val="16"/>
        </w:rPr>
      </w:pPr>
      <w:r w:rsidRPr="00024DF3">
        <w:rPr>
          <w:i/>
          <w:sz w:val="16"/>
          <w:szCs w:val="16"/>
        </w:rPr>
        <w:t>Åremål</w:t>
      </w:r>
      <w:r w:rsidR="00ED4C78">
        <w:rPr>
          <w:i/>
          <w:sz w:val="16"/>
          <w:szCs w:val="16"/>
        </w:rPr>
        <w:t xml:space="preserve"> eller kontraktansættelse</w:t>
      </w:r>
    </w:p>
    <w:p w:rsidR="00374E6D" w:rsidRDefault="00374E6D" w:rsidP="00374E6D">
      <w:pPr>
        <w:rPr>
          <w:sz w:val="16"/>
          <w:szCs w:val="16"/>
        </w:rPr>
      </w:pPr>
      <w:r w:rsidRPr="00C91821">
        <w:rPr>
          <w:sz w:val="16"/>
          <w:szCs w:val="16"/>
        </w:rPr>
        <w:t>Ansvaret for forhandlinger om ansættelse på åremål</w:t>
      </w:r>
      <w:r w:rsidR="0094706E">
        <w:rPr>
          <w:sz w:val="16"/>
          <w:szCs w:val="16"/>
        </w:rPr>
        <w:t xml:space="preserve"> eller kontrakt</w:t>
      </w:r>
      <w:r w:rsidRPr="00C91821">
        <w:rPr>
          <w:sz w:val="16"/>
          <w:szCs w:val="16"/>
        </w:rPr>
        <w:t>, herunder indgåelse af aftaler om vilkår for åremåls</w:t>
      </w:r>
      <w:r w:rsidR="00436D69">
        <w:rPr>
          <w:sz w:val="16"/>
          <w:szCs w:val="16"/>
        </w:rPr>
        <w:t>- eller kontrakt</w:t>
      </w:r>
      <w:r w:rsidRPr="00C91821">
        <w:rPr>
          <w:sz w:val="16"/>
          <w:szCs w:val="16"/>
        </w:rPr>
        <w:t xml:space="preserve">ansættelsen, varetages af </w:t>
      </w:r>
      <w:r>
        <w:rPr>
          <w:sz w:val="16"/>
          <w:szCs w:val="16"/>
        </w:rPr>
        <w:t>kommunal</w:t>
      </w:r>
      <w:r w:rsidR="0094706E">
        <w:rPr>
          <w:sz w:val="16"/>
          <w:szCs w:val="16"/>
        </w:rPr>
        <w:t>direktøren</w:t>
      </w:r>
      <w:r>
        <w:rPr>
          <w:sz w:val="16"/>
          <w:szCs w:val="16"/>
        </w:rPr>
        <w:t xml:space="preserve"> i samarbejde med Økonomi &amp; stab.</w:t>
      </w:r>
    </w:p>
    <w:p w:rsidR="00374E6D" w:rsidRPr="00C91821" w:rsidRDefault="00374E6D" w:rsidP="00374E6D">
      <w:pPr>
        <w:rPr>
          <w:sz w:val="16"/>
          <w:szCs w:val="16"/>
        </w:rPr>
      </w:pPr>
    </w:p>
    <w:p w:rsidR="00374E6D" w:rsidRDefault="00374E6D" w:rsidP="00374E6D">
      <w:pPr>
        <w:rPr>
          <w:sz w:val="16"/>
          <w:szCs w:val="16"/>
        </w:rPr>
      </w:pPr>
      <w:r w:rsidRPr="00C91821">
        <w:rPr>
          <w:sz w:val="16"/>
          <w:szCs w:val="16"/>
        </w:rPr>
        <w:t xml:space="preserve">Det er som hovedregel alene </w:t>
      </w:r>
      <w:r>
        <w:rPr>
          <w:sz w:val="16"/>
          <w:szCs w:val="16"/>
        </w:rPr>
        <w:t xml:space="preserve">kommunaldirektøren eller </w:t>
      </w:r>
      <w:r w:rsidRPr="00C91821">
        <w:rPr>
          <w:sz w:val="16"/>
          <w:szCs w:val="16"/>
        </w:rPr>
        <w:t>direktører, der ansættes på åremål</w:t>
      </w:r>
      <w:r>
        <w:rPr>
          <w:sz w:val="16"/>
          <w:szCs w:val="16"/>
        </w:rPr>
        <w:t xml:space="preserve"> eller kontrakt.</w:t>
      </w:r>
    </w:p>
    <w:p w:rsidR="00374E6D" w:rsidRDefault="00374E6D" w:rsidP="00374E6D">
      <w:pPr>
        <w:rPr>
          <w:sz w:val="16"/>
          <w:szCs w:val="16"/>
        </w:rPr>
      </w:pPr>
    </w:p>
    <w:p w:rsidR="00374E6D" w:rsidRPr="00024DF3" w:rsidRDefault="00374E6D" w:rsidP="00374E6D">
      <w:pPr>
        <w:rPr>
          <w:i/>
          <w:sz w:val="16"/>
          <w:szCs w:val="16"/>
        </w:rPr>
      </w:pPr>
      <w:r w:rsidRPr="00024DF3">
        <w:rPr>
          <w:i/>
          <w:sz w:val="16"/>
          <w:szCs w:val="16"/>
        </w:rPr>
        <w:t>Ansættelse efter Rammeaftale om det sociale kapitel</w:t>
      </w:r>
    </w:p>
    <w:p w:rsidR="00374E6D" w:rsidRDefault="00374E6D" w:rsidP="00374E6D">
      <w:pPr>
        <w:rPr>
          <w:sz w:val="16"/>
          <w:szCs w:val="16"/>
        </w:rPr>
      </w:pPr>
      <w:r w:rsidRPr="00C91821">
        <w:rPr>
          <w:sz w:val="16"/>
          <w:szCs w:val="16"/>
        </w:rPr>
        <w:t>Kompetencen til at indgå aftaler om</w:t>
      </w:r>
      <w:r>
        <w:rPr>
          <w:sz w:val="16"/>
          <w:szCs w:val="16"/>
        </w:rPr>
        <w:t xml:space="preserve"> aftalebaserede jobs på særlige vilkår, jf. kap. 3 i Rammeaftale om det sociale kapitel følger ansættelseskompetencen, dog indgås de konkrete aftaler i samarbejde med</w:t>
      </w:r>
      <w:r w:rsidRPr="00C918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Økonomi &amp; stab. </w:t>
      </w:r>
    </w:p>
    <w:p w:rsidR="00374E6D" w:rsidRDefault="00374E6D" w:rsidP="00374E6D">
      <w:pPr>
        <w:rPr>
          <w:b/>
          <w:sz w:val="16"/>
          <w:szCs w:val="16"/>
        </w:rPr>
      </w:pPr>
    </w:p>
    <w:p w:rsidR="00374E6D" w:rsidRPr="00024DF3" w:rsidRDefault="00374E6D" w:rsidP="00374E6D">
      <w:pPr>
        <w:rPr>
          <w:i/>
          <w:sz w:val="16"/>
          <w:szCs w:val="16"/>
        </w:rPr>
      </w:pPr>
      <w:r w:rsidRPr="00024DF3">
        <w:rPr>
          <w:i/>
          <w:sz w:val="16"/>
          <w:szCs w:val="16"/>
        </w:rPr>
        <w:t>Ny løn, herunder resultatløn</w:t>
      </w:r>
    </w:p>
    <w:p w:rsidR="00DD5CE4" w:rsidRDefault="00374E6D" w:rsidP="00374E6D">
      <w:pPr>
        <w:rPr>
          <w:sz w:val="16"/>
          <w:szCs w:val="16"/>
        </w:rPr>
      </w:pPr>
      <w:r>
        <w:rPr>
          <w:sz w:val="16"/>
          <w:szCs w:val="16"/>
        </w:rPr>
        <w:t xml:space="preserve">Kompetencen til at indgå aftaler om ny løn for ledere, ligger hos </w:t>
      </w:r>
      <w:r w:rsidR="00DD5CE4">
        <w:rPr>
          <w:sz w:val="16"/>
          <w:szCs w:val="16"/>
        </w:rPr>
        <w:t>nærmeste leder, idet forhandling af løn sker på baggrund af en strategisk løndrøftelse med det overliggende ledelsesniveau.</w:t>
      </w:r>
    </w:p>
    <w:p w:rsidR="00374E6D" w:rsidRDefault="00374E6D" w:rsidP="00374E6D">
      <w:pPr>
        <w:rPr>
          <w:sz w:val="16"/>
          <w:szCs w:val="16"/>
        </w:rPr>
      </w:pPr>
    </w:p>
    <w:p w:rsidR="00374E6D" w:rsidRPr="00024DF3" w:rsidRDefault="00374E6D" w:rsidP="00374E6D">
      <w:pPr>
        <w:rPr>
          <w:i/>
          <w:sz w:val="16"/>
          <w:szCs w:val="16"/>
        </w:rPr>
      </w:pPr>
      <w:r w:rsidRPr="00024DF3">
        <w:rPr>
          <w:i/>
          <w:sz w:val="16"/>
          <w:szCs w:val="16"/>
        </w:rPr>
        <w:t>Godtgørelse for merarbejde</w:t>
      </w:r>
    </w:p>
    <w:p w:rsidR="00374E6D" w:rsidRDefault="00374E6D" w:rsidP="00374E6D">
      <w:pPr>
        <w:rPr>
          <w:sz w:val="16"/>
          <w:szCs w:val="16"/>
        </w:rPr>
      </w:pPr>
      <w:r>
        <w:rPr>
          <w:sz w:val="16"/>
          <w:szCs w:val="16"/>
        </w:rPr>
        <w:t>Arbejdstiden skal tilrettelægges, så aftaler om betaling af godtgørelse for merarbejde i praksis kun sjældent vil være aktuelt.</w:t>
      </w:r>
      <w:r w:rsidR="0094706E">
        <w:rPr>
          <w:sz w:val="16"/>
          <w:szCs w:val="16"/>
        </w:rPr>
        <w:t xml:space="preserve"> Nærmeste leder har kompetencen og godtgørelse forudsættes afholdt inden for </w:t>
      </w:r>
      <w:r w:rsidR="006304B9">
        <w:rPr>
          <w:sz w:val="16"/>
          <w:szCs w:val="16"/>
        </w:rPr>
        <w:t>egen lønsum</w:t>
      </w:r>
      <w:r w:rsidR="0094706E">
        <w:rPr>
          <w:sz w:val="16"/>
          <w:szCs w:val="16"/>
        </w:rPr>
        <w:t>.</w:t>
      </w:r>
    </w:p>
    <w:p w:rsidR="00374E6D" w:rsidRDefault="00374E6D" w:rsidP="00374E6D">
      <w:pPr>
        <w:rPr>
          <w:sz w:val="16"/>
          <w:szCs w:val="16"/>
        </w:rPr>
      </w:pPr>
    </w:p>
    <w:p w:rsidR="007F1D17" w:rsidRPr="007F1D17" w:rsidRDefault="007F1D17" w:rsidP="007F1D17">
      <w:pPr>
        <w:rPr>
          <w:i/>
          <w:sz w:val="16"/>
          <w:szCs w:val="16"/>
        </w:rPr>
      </w:pPr>
      <w:r w:rsidRPr="007F1D17">
        <w:rPr>
          <w:i/>
          <w:sz w:val="16"/>
          <w:szCs w:val="16"/>
        </w:rPr>
        <w:t>Overførsel af ferie &amp; erstatningsferie</w:t>
      </w:r>
    </w:p>
    <w:p w:rsidR="007F1D17" w:rsidRPr="007F1D17" w:rsidRDefault="007F1D17" w:rsidP="007F1D17">
      <w:pPr>
        <w:rPr>
          <w:sz w:val="16"/>
          <w:szCs w:val="16"/>
        </w:rPr>
      </w:pPr>
      <w:r>
        <w:rPr>
          <w:sz w:val="16"/>
          <w:szCs w:val="16"/>
        </w:rPr>
        <w:t xml:space="preserve">Godkendelse </w:t>
      </w:r>
      <w:r w:rsidR="0010513E">
        <w:rPr>
          <w:sz w:val="16"/>
          <w:szCs w:val="16"/>
        </w:rPr>
        <w:t>af erstatningsferie sker i samarbejde med Økonomi &amp; stab.</w:t>
      </w:r>
    </w:p>
    <w:p w:rsidR="007F1D17" w:rsidRDefault="007F1D17" w:rsidP="007F1D17">
      <w:pPr>
        <w:rPr>
          <w:i/>
          <w:sz w:val="16"/>
          <w:szCs w:val="16"/>
        </w:rPr>
      </w:pPr>
    </w:p>
    <w:p w:rsidR="007F1D17" w:rsidRPr="00024DF3" w:rsidRDefault="007F1D17" w:rsidP="007F1D17">
      <w:pPr>
        <w:rPr>
          <w:i/>
          <w:sz w:val="16"/>
          <w:szCs w:val="16"/>
        </w:rPr>
      </w:pPr>
      <w:r w:rsidRPr="00024DF3">
        <w:rPr>
          <w:i/>
          <w:sz w:val="16"/>
          <w:szCs w:val="16"/>
        </w:rPr>
        <w:t>Frigørelsesattester</w:t>
      </w:r>
    </w:p>
    <w:p w:rsidR="007F1D17" w:rsidRPr="005F5630" w:rsidRDefault="007F1D17" w:rsidP="007F1D17">
      <w:pPr>
        <w:rPr>
          <w:sz w:val="16"/>
          <w:szCs w:val="16"/>
        </w:rPr>
      </w:pPr>
      <w:r>
        <w:rPr>
          <w:sz w:val="16"/>
          <w:szCs w:val="16"/>
        </w:rPr>
        <w:t xml:space="preserve">Albertslund Kommune udsteder i udgangspunktet ikke frigørelsesattester. Dog </w:t>
      </w:r>
      <w:r w:rsidR="00961C57">
        <w:rPr>
          <w:sz w:val="16"/>
          <w:szCs w:val="16"/>
        </w:rPr>
        <w:t>kan det ske</w:t>
      </w:r>
      <w:r>
        <w:rPr>
          <w:sz w:val="16"/>
          <w:szCs w:val="16"/>
        </w:rPr>
        <w:t xml:space="preserve"> i enkelte tilfælde, hvis der er særlige forhold, der gør sig gældende. Nærmeste leder har kompetencen.</w:t>
      </w:r>
    </w:p>
    <w:p w:rsidR="007F1D17" w:rsidRDefault="007F1D17" w:rsidP="00374E6D">
      <w:pPr>
        <w:rPr>
          <w:sz w:val="16"/>
          <w:szCs w:val="16"/>
        </w:rPr>
      </w:pPr>
    </w:p>
    <w:p w:rsidR="00374E6D" w:rsidRPr="00B46931" w:rsidRDefault="00374E6D" w:rsidP="00374E6D">
      <w:pPr>
        <w:rPr>
          <w:i/>
          <w:sz w:val="16"/>
          <w:szCs w:val="16"/>
        </w:rPr>
      </w:pPr>
      <w:r w:rsidRPr="00B46931">
        <w:rPr>
          <w:i/>
          <w:sz w:val="16"/>
          <w:szCs w:val="16"/>
        </w:rPr>
        <w:t>Senioraftaler</w:t>
      </w:r>
    </w:p>
    <w:p w:rsidR="009C4AC7" w:rsidRDefault="00374E6D" w:rsidP="00374E6D">
      <w:pPr>
        <w:rPr>
          <w:sz w:val="16"/>
          <w:szCs w:val="16"/>
        </w:rPr>
      </w:pPr>
      <w:r>
        <w:rPr>
          <w:sz w:val="16"/>
          <w:szCs w:val="16"/>
          <w:u w:val="single"/>
        </w:rPr>
        <w:t>N</w:t>
      </w:r>
      <w:r w:rsidRPr="00C91821">
        <w:rPr>
          <w:sz w:val="16"/>
          <w:szCs w:val="16"/>
          <w:u w:val="single"/>
        </w:rPr>
        <w:t>år udgiften kan holdes</w:t>
      </w:r>
      <w:r w:rsidRPr="00C91821">
        <w:rPr>
          <w:sz w:val="16"/>
          <w:szCs w:val="16"/>
        </w:rPr>
        <w:t xml:space="preserve"> inden for den enkelte personalean</w:t>
      </w:r>
      <w:r>
        <w:rPr>
          <w:sz w:val="16"/>
          <w:szCs w:val="16"/>
        </w:rPr>
        <w:t>svarliges egen lønsum ligger k</w:t>
      </w:r>
      <w:r w:rsidRPr="00C91821">
        <w:rPr>
          <w:sz w:val="16"/>
          <w:szCs w:val="16"/>
        </w:rPr>
        <w:t>ompetencen til at indgå aftaler om seniorordninger</w:t>
      </w:r>
      <w:r>
        <w:rPr>
          <w:sz w:val="16"/>
          <w:szCs w:val="16"/>
        </w:rPr>
        <w:t>,</w:t>
      </w:r>
      <w:r w:rsidRPr="00C91821">
        <w:rPr>
          <w:sz w:val="16"/>
          <w:szCs w:val="16"/>
        </w:rPr>
        <w:t xml:space="preserve"> generationsskifteordninger og fratrædelsesordninger </w:t>
      </w:r>
      <w:r>
        <w:rPr>
          <w:sz w:val="16"/>
          <w:szCs w:val="16"/>
        </w:rPr>
        <w:t>samt kombinationer her</w:t>
      </w:r>
      <w:r w:rsidR="00347ECD">
        <w:rPr>
          <w:sz w:val="16"/>
          <w:szCs w:val="16"/>
        </w:rPr>
        <w:t>af</w:t>
      </w:r>
      <w:r>
        <w:rPr>
          <w:sz w:val="16"/>
          <w:szCs w:val="16"/>
        </w:rPr>
        <w:t xml:space="preserve"> hos</w:t>
      </w:r>
      <w:r w:rsidR="009C4AC7">
        <w:rPr>
          <w:sz w:val="16"/>
          <w:szCs w:val="16"/>
        </w:rPr>
        <w:t xml:space="preserve"> denne, idet aftalen altid udarbejdes i samarbejde med </w:t>
      </w:r>
      <w:r>
        <w:rPr>
          <w:sz w:val="16"/>
          <w:szCs w:val="16"/>
        </w:rPr>
        <w:t>Økonomi &amp; stab</w:t>
      </w:r>
      <w:r w:rsidR="009C4AC7">
        <w:rPr>
          <w:sz w:val="16"/>
          <w:szCs w:val="16"/>
        </w:rPr>
        <w:t>.</w:t>
      </w:r>
    </w:p>
    <w:p w:rsidR="00374E6D" w:rsidRDefault="009C4AC7" w:rsidP="00374E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74E6D" w:rsidRDefault="00374E6D" w:rsidP="00374E6D">
      <w:pPr>
        <w:rPr>
          <w:sz w:val="16"/>
          <w:szCs w:val="16"/>
        </w:rPr>
      </w:pPr>
      <w:r>
        <w:rPr>
          <w:sz w:val="16"/>
          <w:szCs w:val="16"/>
          <w:u w:val="single"/>
        </w:rPr>
        <w:t>N</w:t>
      </w:r>
      <w:r w:rsidRPr="00C91821">
        <w:rPr>
          <w:sz w:val="16"/>
          <w:szCs w:val="16"/>
          <w:u w:val="single"/>
        </w:rPr>
        <w:t>år udgiften ikke kan holdes</w:t>
      </w:r>
      <w:r w:rsidRPr="00C91821">
        <w:rPr>
          <w:sz w:val="16"/>
          <w:szCs w:val="16"/>
        </w:rPr>
        <w:t xml:space="preserve"> inden for den enkelte p</w:t>
      </w:r>
      <w:r>
        <w:rPr>
          <w:sz w:val="16"/>
          <w:szCs w:val="16"/>
        </w:rPr>
        <w:t>ersonaleansvarliges egen lønsum ligger kompetencen hos Økonomi &amp; stab i samarbejde med ledelsesniveauet over den, der har ansættelseskompetencen.</w:t>
      </w:r>
    </w:p>
    <w:p w:rsidR="00374E6D" w:rsidRDefault="00374E6D" w:rsidP="00374E6D">
      <w:pPr>
        <w:rPr>
          <w:b/>
          <w:sz w:val="16"/>
          <w:szCs w:val="16"/>
        </w:rPr>
      </w:pPr>
    </w:p>
    <w:p w:rsidR="00374E6D" w:rsidRPr="00B46931" w:rsidRDefault="00374E6D" w:rsidP="00374E6D">
      <w:pPr>
        <w:rPr>
          <w:sz w:val="16"/>
          <w:szCs w:val="16"/>
          <w:u w:val="single"/>
        </w:rPr>
      </w:pPr>
      <w:r w:rsidRPr="00B46931">
        <w:rPr>
          <w:sz w:val="16"/>
          <w:szCs w:val="16"/>
          <w:u w:val="single"/>
        </w:rPr>
        <w:t>Økonomiudvalget har kompetencen for tjenestemænd.</w:t>
      </w:r>
    </w:p>
    <w:p w:rsidR="00374E6D" w:rsidRDefault="00374E6D" w:rsidP="00374E6D">
      <w:pPr>
        <w:rPr>
          <w:sz w:val="16"/>
          <w:szCs w:val="16"/>
        </w:rPr>
      </w:pPr>
    </w:p>
    <w:p w:rsidR="00374E6D" w:rsidRPr="00B46931" w:rsidRDefault="00374E6D" w:rsidP="00374E6D">
      <w:pPr>
        <w:rPr>
          <w:i/>
          <w:sz w:val="16"/>
          <w:szCs w:val="16"/>
        </w:rPr>
      </w:pPr>
      <w:r w:rsidRPr="00B46931">
        <w:rPr>
          <w:i/>
          <w:sz w:val="16"/>
          <w:szCs w:val="16"/>
        </w:rPr>
        <w:t>Advarsler/påtaler</w:t>
      </w:r>
    </w:p>
    <w:p w:rsidR="00374E6D" w:rsidRDefault="00374E6D" w:rsidP="00374E6D">
      <w:pPr>
        <w:rPr>
          <w:sz w:val="16"/>
          <w:szCs w:val="16"/>
        </w:rPr>
      </w:pPr>
      <w:r w:rsidRPr="00B46931">
        <w:rPr>
          <w:sz w:val="16"/>
          <w:szCs w:val="16"/>
          <w:u w:val="single"/>
        </w:rPr>
        <w:t>Økonomi &amp; stab har kompetencen i forhold til tjenestemænd</w:t>
      </w:r>
      <w:r>
        <w:rPr>
          <w:sz w:val="16"/>
          <w:szCs w:val="16"/>
        </w:rPr>
        <w:t xml:space="preserve"> i samarbejde med den, der har ansættelseskompetencen.</w:t>
      </w:r>
      <w:r w:rsidR="009C4AC7">
        <w:rPr>
          <w:sz w:val="16"/>
          <w:szCs w:val="16"/>
        </w:rPr>
        <w:t xml:space="preserve"> </w:t>
      </w:r>
      <w:r w:rsidR="00943EC9">
        <w:rPr>
          <w:sz w:val="16"/>
          <w:szCs w:val="16"/>
        </w:rPr>
        <w:t>I alle andre sager har nærmeste leder kompetencen, idet der altid samarbejdes med Økonomi &amp; stab om sagen.</w:t>
      </w:r>
    </w:p>
    <w:p w:rsidR="00374E6D" w:rsidRDefault="00374E6D" w:rsidP="00374E6D">
      <w:pPr>
        <w:rPr>
          <w:sz w:val="16"/>
          <w:szCs w:val="16"/>
        </w:rPr>
      </w:pPr>
    </w:p>
    <w:p w:rsidR="00374E6D" w:rsidRPr="00B46931" w:rsidRDefault="00374E6D" w:rsidP="00374E6D">
      <w:pPr>
        <w:rPr>
          <w:i/>
          <w:sz w:val="16"/>
          <w:szCs w:val="16"/>
        </w:rPr>
      </w:pPr>
      <w:r w:rsidRPr="00B46931">
        <w:rPr>
          <w:i/>
          <w:sz w:val="16"/>
          <w:szCs w:val="16"/>
        </w:rPr>
        <w:t>Ansøgt afsked</w:t>
      </w:r>
    </w:p>
    <w:p w:rsidR="00374E6D" w:rsidRDefault="00374E6D" w:rsidP="00374E6D">
      <w:pPr>
        <w:rPr>
          <w:sz w:val="16"/>
          <w:szCs w:val="16"/>
        </w:rPr>
      </w:pPr>
      <w:r>
        <w:rPr>
          <w:sz w:val="16"/>
          <w:szCs w:val="16"/>
        </w:rPr>
        <w:t>Den, der har ansættelseskompetencen, kan modt</w:t>
      </w:r>
      <w:r w:rsidR="00167E21">
        <w:rPr>
          <w:sz w:val="16"/>
          <w:szCs w:val="16"/>
        </w:rPr>
        <w:t xml:space="preserve">age en opsigelse og </w:t>
      </w:r>
      <w:r w:rsidR="00961C57">
        <w:rPr>
          <w:sz w:val="16"/>
          <w:szCs w:val="16"/>
        </w:rPr>
        <w:t>skal herefter sikre</w:t>
      </w:r>
      <w:r w:rsidR="00167E21">
        <w:rPr>
          <w:sz w:val="16"/>
          <w:szCs w:val="16"/>
        </w:rPr>
        <w:t xml:space="preserve"> iværksættelse af den videre proces i forhold til ophør af løn, systemrettigheder mv.</w:t>
      </w:r>
    </w:p>
    <w:p w:rsidR="00374E6D" w:rsidRDefault="00374E6D" w:rsidP="00374E6D">
      <w:pPr>
        <w:rPr>
          <w:sz w:val="16"/>
          <w:szCs w:val="16"/>
        </w:rPr>
      </w:pPr>
    </w:p>
    <w:p w:rsidR="00374E6D" w:rsidRPr="00170C16" w:rsidRDefault="00374E6D" w:rsidP="00374E6D">
      <w:pPr>
        <w:rPr>
          <w:b/>
          <w:sz w:val="16"/>
          <w:szCs w:val="16"/>
        </w:rPr>
      </w:pPr>
      <w:r w:rsidRPr="00170C16">
        <w:rPr>
          <w:b/>
          <w:sz w:val="16"/>
          <w:szCs w:val="16"/>
        </w:rPr>
        <w:t>Kompetencen i øvrige sager om personale</w:t>
      </w:r>
    </w:p>
    <w:p w:rsidR="00374E6D" w:rsidRDefault="00374E6D" w:rsidP="00374E6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74E6D" w:rsidRPr="00B46931" w:rsidRDefault="00374E6D" w:rsidP="00374E6D">
      <w:pPr>
        <w:rPr>
          <w:i/>
          <w:sz w:val="16"/>
          <w:szCs w:val="16"/>
        </w:rPr>
      </w:pPr>
      <w:r w:rsidRPr="00B46931">
        <w:rPr>
          <w:i/>
          <w:sz w:val="16"/>
          <w:szCs w:val="16"/>
        </w:rPr>
        <w:t>Orlov med løn</w:t>
      </w:r>
    </w:p>
    <w:p w:rsidR="00167E21" w:rsidRDefault="00167E21" w:rsidP="00374E6D">
      <w:pPr>
        <w:rPr>
          <w:sz w:val="16"/>
          <w:szCs w:val="16"/>
        </w:rPr>
      </w:pPr>
      <w:r>
        <w:rPr>
          <w:sz w:val="16"/>
          <w:szCs w:val="16"/>
        </w:rPr>
        <w:t xml:space="preserve">Som udgangspunkt bevilges der ikke orlov med løn. Skulle det ekstraordinært blive aktuelt, er det </w:t>
      </w:r>
      <w:r w:rsidR="00374E6D">
        <w:rPr>
          <w:sz w:val="16"/>
          <w:szCs w:val="16"/>
        </w:rPr>
        <w:t xml:space="preserve">Økonomiudvalget </w:t>
      </w:r>
      <w:r>
        <w:rPr>
          <w:sz w:val="16"/>
          <w:szCs w:val="16"/>
        </w:rPr>
        <w:t>der har kompetencen.</w:t>
      </w:r>
    </w:p>
    <w:p w:rsidR="00374E6D" w:rsidRDefault="00167E21" w:rsidP="00374E6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436D69" w:rsidRDefault="00436D69" w:rsidP="00374E6D">
      <w:pPr>
        <w:rPr>
          <w:i/>
          <w:sz w:val="16"/>
          <w:szCs w:val="16"/>
        </w:rPr>
      </w:pPr>
    </w:p>
    <w:p w:rsidR="00436D69" w:rsidRDefault="00436D69" w:rsidP="00374E6D">
      <w:pPr>
        <w:rPr>
          <w:i/>
          <w:sz w:val="16"/>
          <w:szCs w:val="16"/>
        </w:rPr>
      </w:pPr>
    </w:p>
    <w:p w:rsidR="00436D69" w:rsidRDefault="00436D69" w:rsidP="00374E6D">
      <w:pPr>
        <w:rPr>
          <w:i/>
          <w:sz w:val="16"/>
          <w:szCs w:val="16"/>
        </w:rPr>
      </w:pPr>
    </w:p>
    <w:p w:rsidR="00374E6D" w:rsidRPr="00B46931" w:rsidRDefault="00374E6D" w:rsidP="00374E6D">
      <w:pPr>
        <w:rPr>
          <w:i/>
          <w:sz w:val="16"/>
          <w:szCs w:val="16"/>
        </w:rPr>
      </w:pPr>
      <w:r w:rsidRPr="00B46931">
        <w:rPr>
          <w:i/>
          <w:sz w:val="16"/>
          <w:szCs w:val="16"/>
        </w:rPr>
        <w:t>Forhåndsaftaler</w:t>
      </w:r>
    </w:p>
    <w:p w:rsidR="00C1670E" w:rsidRDefault="00167E21" w:rsidP="00374E6D">
      <w:pPr>
        <w:rPr>
          <w:sz w:val="16"/>
          <w:szCs w:val="16"/>
        </w:rPr>
      </w:pPr>
      <w:r>
        <w:rPr>
          <w:sz w:val="16"/>
          <w:szCs w:val="16"/>
        </w:rPr>
        <w:t xml:space="preserve">Den eller de afdelingschefer, som forhåndsaftalen hører under og som har det økonomiske ansvar på området har kompetencen, idet der altid samarbejdes med Økonomi &amp; stab om udarbejdelsen af forhåndsaftalen. Forhåndsaftaler forudsættes indgået inden for den til rådighed værende lønsum. </w:t>
      </w:r>
    </w:p>
    <w:p w:rsidR="00B01947" w:rsidRDefault="00B01947" w:rsidP="00374E6D">
      <w:pPr>
        <w:rPr>
          <w:sz w:val="16"/>
          <w:szCs w:val="16"/>
        </w:rPr>
      </w:pPr>
    </w:p>
    <w:p w:rsidR="00C1670E" w:rsidRDefault="00B01947" w:rsidP="00374E6D">
      <w:pPr>
        <w:rPr>
          <w:sz w:val="16"/>
          <w:szCs w:val="16"/>
        </w:rPr>
      </w:pPr>
      <w:r>
        <w:rPr>
          <w:sz w:val="16"/>
          <w:szCs w:val="16"/>
        </w:rPr>
        <w:t>Når der indgås nye forhåndsaftaler efter en overenskomstfornyelse godkendes d</w:t>
      </w:r>
      <w:r w:rsidR="008878F4">
        <w:rPr>
          <w:sz w:val="16"/>
          <w:szCs w:val="16"/>
        </w:rPr>
        <w:t xml:space="preserve">e af økonomiudvalget. </w:t>
      </w:r>
    </w:p>
    <w:p w:rsidR="00E313A7" w:rsidRDefault="00E313A7" w:rsidP="00374E6D">
      <w:pPr>
        <w:rPr>
          <w:sz w:val="16"/>
          <w:szCs w:val="16"/>
        </w:rPr>
      </w:pPr>
    </w:p>
    <w:p w:rsidR="00374E6D" w:rsidRPr="00B46931" w:rsidRDefault="00374E6D" w:rsidP="00374E6D">
      <w:pPr>
        <w:rPr>
          <w:i/>
          <w:sz w:val="16"/>
          <w:szCs w:val="16"/>
        </w:rPr>
      </w:pPr>
      <w:r w:rsidRPr="00B46931">
        <w:rPr>
          <w:i/>
          <w:sz w:val="16"/>
          <w:szCs w:val="16"/>
        </w:rPr>
        <w:t>Lokale arbejdstidsaftaler, herunder aftaler om konvertering af arbejdstid</w:t>
      </w:r>
    </w:p>
    <w:p w:rsidR="00167E21" w:rsidRDefault="00601F89" w:rsidP="00374E6D">
      <w:pPr>
        <w:rPr>
          <w:sz w:val="16"/>
          <w:szCs w:val="16"/>
        </w:rPr>
      </w:pPr>
      <w:r>
        <w:rPr>
          <w:sz w:val="16"/>
          <w:szCs w:val="16"/>
        </w:rPr>
        <w:t xml:space="preserve">Den afdelingschef, som har den lokale arbejdstidsaftale og som har det økonomiske ansvar på området har kompetencen, </w:t>
      </w:r>
      <w:r w:rsidR="00FE5533">
        <w:rPr>
          <w:sz w:val="16"/>
          <w:szCs w:val="16"/>
        </w:rPr>
        <w:t xml:space="preserve">i </w:t>
      </w:r>
      <w:r>
        <w:rPr>
          <w:sz w:val="16"/>
          <w:szCs w:val="16"/>
        </w:rPr>
        <w:t xml:space="preserve">det der altid samarbejdes med Økonomi &amp; stab om udarbejdelsen af den konkrete aftale. </w:t>
      </w:r>
    </w:p>
    <w:p w:rsidR="008878F4" w:rsidRDefault="008878F4" w:rsidP="00374E6D">
      <w:pPr>
        <w:rPr>
          <w:sz w:val="16"/>
          <w:szCs w:val="16"/>
        </w:rPr>
      </w:pPr>
    </w:p>
    <w:p w:rsidR="00C1670E" w:rsidRDefault="008878F4" w:rsidP="00374E6D">
      <w:pPr>
        <w:rPr>
          <w:sz w:val="16"/>
          <w:szCs w:val="16"/>
        </w:rPr>
      </w:pPr>
      <w:r>
        <w:rPr>
          <w:sz w:val="16"/>
          <w:szCs w:val="16"/>
        </w:rPr>
        <w:t xml:space="preserve">Når der indgås nye lokale arbejdstidsaftaler efter en overenskomstfornyelse godkendes de af økonomiudvalget. </w:t>
      </w:r>
    </w:p>
    <w:p w:rsidR="00E313A7" w:rsidRDefault="00E313A7" w:rsidP="00374E6D">
      <w:pPr>
        <w:rPr>
          <w:sz w:val="16"/>
          <w:szCs w:val="16"/>
        </w:rPr>
      </w:pPr>
    </w:p>
    <w:p w:rsidR="00374E6D" w:rsidRPr="00B46931" w:rsidRDefault="00374E6D" w:rsidP="00374E6D">
      <w:pPr>
        <w:rPr>
          <w:i/>
          <w:sz w:val="16"/>
          <w:szCs w:val="16"/>
        </w:rPr>
      </w:pPr>
      <w:r w:rsidRPr="00B46931">
        <w:rPr>
          <w:i/>
          <w:sz w:val="16"/>
          <w:szCs w:val="16"/>
        </w:rPr>
        <w:t>Uansøgt afsked</w:t>
      </w:r>
    </w:p>
    <w:p w:rsidR="00374E6D" w:rsidRDefault="00374E6D" w:rsidP="00374E6D">
      <w:pPr>
        <w:rPr>
          <w:sz w:val="16"/>
          <w:szCs w:val="16"/>
        </w:rPr>
      </w:pPr>
      <w:r>
        <w:rPr>
          <w:sz w:val="16"/>
          <w:szCs w:val="16"/>
        </w:rPr>
        <w:t>Kommunalbestyrelsen har kompetencen til at træffe afgørelse om uansøgt afsked af kommunaldirektøren og områdedirektører.</w:t>
      </w:r>
    </w:p>
    <w:p w:rsidR="00374E6D" w:rsidRDefault="00374E6D" w:rsidP="00374E6D">
      <w:pPr>
        <w:rPr>
          <w:sz w:val="16"/>
          <w:szCs w:val="16"/>
        </w:rPr>
      </w:pPr>
    </w:p>
    <w:p w:rsidR="00374E6D" w:rsidRDefault="00374E6D" w:rsidP="00374E6D">
      <w:pPr>
        <w:rPr>
          <w:sz w:val="16"/>
          <w:szCs w:val="16"/>
        </w:rPr>
      </w:pPr>
      <w:r>
        <w:rPr>
          <w:sz w:val="16"/>
          <w:szCs w:val="16"/>
        </w:rPr>
        <w:t>Økonomi &amp; stab har kompetencen i øvrige sager om uansøgt afsked i samarbejde med den, der har ansættelseskompetencen.</w:t>
      </w:r>
    </w:p>
    <w:p w:rsidR="00374E6D" w:rsidRDefault="00374E6D" w:rsidP="00374E6D">
      <w:pPr>
        <w:rPr>
          <w:b/>
          <w:sz w:val="16"/>
          <w:szCs w:val="16"/>
        </w:rPr>
      </w:pPr>
    </w:p>
    <w:p w:rsidR="00374E6D" w:rsidRDefault="00374E6D" w:rsidP="00374E6D">
      <w:pPr>
        <w:rPr>
          <w:b/>
          <w:sz w:val="16"/>
          <w:szCs w:val="16"/>
        </w:rPr>
      </w:pPr>
    </w:p>
    <w:p w:rsidR="00374E6D" w:rsidRDefault="00374E6D" w:rsidP="00374E6D"/>
    <w:p w:rsidR="00A46F13" w:rsidRDefault="00A46F13"/>
    <w:sectPr w:rsidR="00A4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900"/>
    <w:multiLevelType w:val="multilevel"/>
    <w:tmpl w:val="363643E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6B2902"/>
    <w:multiLevelType w:val="multilevel"/>
    <w:tmpl w:val="AF4699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994B0E"/>
    <w:multiLevelType w:val="multilevel"/>
    <w:tmpl w:val="180617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136AE6"/>
    <w:multiLevelType w:val="multilevel"/>
    <w:tmpl w:val="F28ECB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B51799"/>
    <w:multiLevelType w:val="multilevel"/>
    <w:tmpl w:val="6674ECB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B9658D7"/>
    <w:multiLevelType w:val="multilevel"/>
    <w:tmpl w:val="5FFE263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170643"/>
    <w:multiLevelType w:val="multilevel"/>
    <w:tmpl w:val="E25683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A1B4E"/>
    <w:multiLevelType w:val="multilevel"/>
    <w:tmpl w:val="A898807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374E6D"/>
    <w:rsid w:val="000E69D1"/>
    <w:rsid w:val="0010513E"/>
    <w:rsid w:val="00167E21"/>
    <w:rsid w:val="00226627"/>
    <w:rsid w:val="002824E0"/>
    <w:rsid w:val="002E18A8"/>
    <w:rsid w:val="00347ECD"/>
    <w:rsid w:val="003516A8"/>
    <w:rsid w:val="003722B0"/>
    <w:rsid w:val="00374E6D"/>
    <w:rsid w:val="00436D69"/>
    <w:rsid w:val="004A217E"/>
    <w:rsid w:val="004B0EEA"/>
    <w:rsid w:val="005B2660"/>
    <w:rsid w:val="00601F89"/>
    <w:rsid w:val="006304B9"/>
    <w:rsid w:val="006A79EB"/>
    <w:rsid w:val="006C4549"/>
    <w:rsid w:val="007347A3"/>
    <w:rsid w:val="007975E5"/>
    <w:rsid w:val="007F1D17"/>
    <w:rsid w:val="008878F4"/>
    <w:rsid w:val="00915831"/>
    <w:rsid w:val="00943EC9"/>
    <w:rsid w:val="0094706E"/>
    <w:rsid w:val="00961C57"/>
    <w:rsid w:val="009C4AC7"/>
    <w:rsid w:val="00A07E65"/>
    <w:rsid w:val="00A46F13"/>
    <w:rsid w:val="00A63928"/>
    <w:rsid w:val="00B01947"/>
    <w:rsid w:val="00B71373"/>
    <w:rsid w:val="00B8243C"/>
    <w:rsid w:val="00B945D1"/>
    <w:rsid w:val="00C1670E"/>
    <w:rsid w:val="00CB7C7E"/>
    <w:rsid w:val="00D70C51"/>
    <w:rsid w:val="00DA0794"/>
    <w:rsid w:val="00DB49F1"/>
    <w:rsid w:val="00DD5CE4"/>
    <w:rsid w:val="00E313A7"/>
    <w:rsid w:val="00ED4C78"/>
    <w:rsid w:val="00F1424D"/>
    <w:rsid w:val="00FC527B"/>
    <w:rsid w:val="00FD20EB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6D"/>
    <w:pPr>
      <w:spacing w:after="0" w:line="260" w:lineRule="atLeast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9F1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6D"/>
    <w:pPr>
      <w:spacing w:after="0" w:line="260" w:lineRule="atLeast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9F1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2F980D88</Template>
  <TotalTime>1</TotalTime>
  <Pages>1</Pages>
  <Words>759</Words>
  <Characters>5229</Characters>
  <Application>Microsoft Office Word</Application>
  <DocSecurity>0</DocSecurity>
  <Lines>174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Majken Olesen</cp:lastModifiedBy>
  <cp:revision>2</cp:revision>
  <cp:lastPrinted>2013-05-14T09:51:00Z</cp:lastPrinted>
  <dcterms:created xsi:type="dcterms:W3CDTF">2016-04-19T11:14:00Z</dcterms:created>
  <dcterms:modified xsi:type="dcterms:W3CDTF">2016-04-19T11:14:00Z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